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93" w:rsidRDefault="008C160D">
      <w:pPr>
        <w:spacing w:before="315" w:after="105" w:line="360" w:lineRule="auto"/>
        <w:ind w:left="-30"/>
      </w:pPr>
      <w:bookmarkStart w:id="0" w:name="bm_1_энергетический_стагфляционны_970b96"/>
      <w:r>
        <w:rPr>
          <w:rFonts w:eastAsia="Georgia" w:hAnsi="Georgia" w:cs="Georgia"/>
          <w:b/>
          <w:color w:val="000000"/>
          <w:sz w:val="24"/>
        </w:rPr>
        <w:t xml:space="preserve">1. Энергетический </w:t>
      </w:r>
      <w:proofErr w:type="spellStart"/>
      <w:r>
        <w:rPr>
          <w:rFonts w:eastAsia="Georgia" w:hAnsi="Georgia" w:cs="Georgia"/>
          <w:b/>
          <w:color w:val="000000"/>
          <w:sz w:val="24"/>
        </w:rPr>
        <w:t>стагфляционный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шок (</w:t>
      </w:r>
      <w:bookmarkStart w:id="1" w:name="_GoBack"/>
      <w:bookmarkEnd w:id="1"/>
      <w:r>
        <w:rPr>
          <w:rFonts w:eastAsia="Georgia" w:hAnsi="Georgia" w:cs="Georgia"/>
          <w:b/>
          <w:color w:val="000000"/>
          <w:sz w:val="24"/>
        </w:rPr>
        <w:t>Ормузский пролив)</w:t>
      </w:r>
      <w:bookmarkEnd w:id="0"/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Что изменилось</w:t>
      </w:r>
      <w:r>
        <w:rPr>
          <w:rFonts w:eastAsia="Georgia" w:hAnsi="Georgia" w:cs="Georgia"/>
          <w:color w:val="000000"/>
        </w:rPr>
        <w:br/>
        <w:t>Клубы взаимного страхования (</w:t>
      </w:r>
      <w:proofErr w:type="spellStart"/>
      <w:r>
        <w:rPr>
          <w:rFonts w:eastAsia="Georgia" w:hAnsi="Georgia" w:cs="Georgia"/>
          <w:color w:val="000000"/>
        </w:rPr>
        <w:t>London</w:t>
      </w:r>
      <w:proofErr w:type="spellEnd"/>
      <w:r>
        <w:rPr>
          <w:rFonts w:eastAsia="Georgia" w:hAnsi="Georgia" w:cs="Georgia"/>
          <w:color w:val="000000"/>
        </w:rPr>
        <w:t xml:space="preserve"> P&amp;I, </w:t>
      </w:r>
      <w:proofErr w:type="spellStart"/>
      <w:r>
        <w:rPr>
          <w:rFonts w:eastAsia="Georgia" w:hAnsi="Georgia" w:cs="Georgia"/>
          <w:color w:val="000000"/>
        </w:rPr>
        <w:t>Skuld</w:t>
      </w:r>
      <w:proofErr w:type="spellEnd"/>
      <w:r>
        <w:rPr>
          <w:rFonts w:eastAsia="Georgia" w:hAnsi="Georgia" w:cs="Georgia"/>
          <w:color w:val="000000"/>
        </w:rPr>
        <w:t xml:space="preserve">, </w:t>
      </w:r>
      <w:proofErr w:type="spellStart"/>
      <w:r>
        <w:rPr>
          <w:rFonts w:eastAsia="Georgia" w:hAnsi="Georgia" w:cs="Georgia"/>
          <w:color w:val="000000"/>
        </w:rPr>
        <w:t>American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Club</w:t>
      </w:r>
      <w:proofErr w:type="spellEnd"/>
      <w:r>
        <w:rPr>
          <w:rFonts w:eastAsia="Georgia" w:hAnsi="Georgia" w:cs="Georgia"/>
          <w:color w:val="000000"/>
        </w:rPr>
        <w:t xml:space="preserve"> и др.) отменили покрытие военных рисков для комм</w:t>
      </w:r>
      <w:r>
        <w:rPr>
          <w:rFonts w:eastAsia="Georgia" w:hAnsi="Georgia" w:cs="Georgia"/>
          <w:color w:val="000000"/>
        </w:rPr>
        <w:t>ерческих судов в Персидском и Оманском заливах, запустив стандартное 72‑часовое предупреждение. США ответили госгарантиями через DFC и готовностью ВМС эскортировать танкеры.</w:t>
      </w:r>
      <w:bookmarkStart w:id="2" w:name="fnref1"/>
      <w:bookmarkEnd w:id="2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Почему это важно</w:t>
      </w:r>
      <w:r>
        <w:rPr>
          <w:rFonts w:eastAsia="Georgia" w:hAnsi="Georgia" w:cs="Georgia"/>
          <w:color w:val="000000"/>
        </w:rPr>
        <w:br/>
        <w:t>Решение страховщиков фактически забл</w:t>
      </w:r>
      <w:r>
        <w:rPr>
          <w:rFonts w:eastAsia="Georgia" w:hAnsi="Georgia" w:cs="Georgia"/>
          <w:color w:val="000000"/>
        </w:rPr>
        <w:t xml:space="preserve">окировало доступ к ~20% мировых поставок нефти и СПГ: ключевым фактором стала не иранская блокада, а модель риска страховых синдикатов. Даже объявленное ОПЕК+ увеличение добычи теряет смысл, потому что дополнительные объёмы физически находятся внутри зоны </w:t>
      </w:r>
      <w:r>
        <w:rPr>
          <w:rFonts w:eastAsia="Georgia" w:hAnsi="Georgia" w:cs="Georgia"/>
          <w:color w:val="000000"/>
        </w:rPr>
        <w:t>конфликта.</w:t>
      </w:r>
      <w:bookmarkStart w:id="3" w:name="fnref1_1"/>
      <w:bookmarkEnd w:id="3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Усиленный риск</w:t>
      </w:r>
      <w:r>
        <w:rPr>
          <w:rFonts w:eastAsia="Georgia" w:hAnsi="Georgia" w:cs="Georgia"/>
          <w:color w:val="000000"/>
        </w:rPr>
        <w:br/>
        <w:t xml:space="preserve">Глобальный </w:t>
      </w:r>
      <w:proofErr w:type="spellStart"/>
      <w:r>
        <w:rPr>
          <w:rFonts w:eastAsia="Georgia" w:hAnsi="Georgia" w:cs="Georgia"/>
          <w:color w:val="000000"/>
        </w:rPr>
        <w:t>стагфляционный</w:t>
      </w:r>
      <w:proofErr w:type="spellEnd"/>
      <w:r>
        <w:rPr>
          <w:rFonts w:eastAsia="Georgia" w:hAnsi="Georgia" w:cs="Georgia"/>
          <w:color w:val="000000"/>
        </w:rPr>
        <w:t xml:space="preserve"> шок, каскадный паралич морской логистики и дефицит энергоносителей в Азии и Европе.</w:t>
      </w:r>
      <w:bookmarkStart w:id="4" w:name="fnref1_2"/>
      <w:bookmarkEnd w:id="4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DC4F93" w:rsidRPr="0010796C" w:rsidRDefault="008C160D">
      <w:pPr>
        <w:spacing w:before="315" w:after="105" w:line="360" w:lineRule="auto"/>
        <w:ind w:left="-30"/>
        <w:rPr>
          <w:lang w:val="en-US"/>
        </w:rPr>
      </w:pPr>
      <w:bookmarkStart w:id="5" w:name="bm_2_слом_паттерна_safe_haven_us_541784"/>
      <w:r w:rsidRPr="0010796C">
        <w:rPr>
          <w:rFonts w:eastAsia="Georgia" w:hAnsi="Georgia" w:cs="Georgia"/>
          <w:b/>
          <w:color w:val="000000"/>
          <w:sz w:val="24"/>
          <w:lang w:val="en-US"/>
        </w:rPr>
        <w:t xml:space="preserve">2. </w:t>
      </w:r>
      <w:r>
        <w:rPr>
          <w:rFonts w:eastAsia="Georgia" w:hAnsi="Georgia" w:cs="Georgia"/>
          <w:b/>
          <w:color w:val="000000"/>
          <w:sz w:val="24"/>
        </w:rPr>
        <w:t>Слом</w:t>
      </w:r>
      <w:r w:rsidRPr="0010796C">
        <w:rPr>
          <w:rFonts w:eastAsia="Georgia" w:hAnsi="Georgia" w:cs="Georgia"/>
          <w:b/>
          <w:color w:val="000000"/>
          <w:sz w:val="24"/>
          <w:lang w:val="en-US"/>
        </w:rPr>
        <w:t xml:space="preserve"> </w:t>
      </w:r>
      <w:r>
        <w:rPr>
          <w:rFonts w:eastAsia="Georgia" w:hAnsi="Georgia" w:cs="Georgia"/>
          <w:b/>
          <w:color w:val="000000"/>
          <w:sz w:val="24"/>
        </w:rPr>
        <w:t>паттерна</w:t>
      </w:r>
      <w:r w:rsidRPr="0010796C">
        <w:rPr>
          <w:rFonts w:eastAsia="Georgia" w:hAnsi="Georgia" w:cs="Georgia"/>
          <w:b/>
          <w:color w:val="000000"/>
          <w:sz w:val="24"/>
          <w:lang w:val="en-US"/>
        </w:rPr>
        <w:t xml:space="preserve"> Safe‑Haven (US Treasuries)</w:t>
      </w:r>
      <w:bookmarkEnd w:id="5"/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Что изменилось</w:t>
      </w:r>
      <w:r>
        <w:rPr>
          <w:rFonts w:eastAsia="Georgia" w:hAnsi="Georgia" w:cs="Georgia"/>
          <w:color w:val="000000"/>
        </w:rPr>
        <w:br/>
        <w:t xml:space="preserve">Доходность 10‑летних US </w:t>
      </w:r>
      <w:proofErr w:type="spellStart"/>
      <w:r>
        <w:rPr>
          <w:rFonts w:eastAsia="Georgia" w:hAnsi="Georgia" w:cs="Georgia"/>
          <w:color w:val="000000"/>
        </w:rPr>
        <w:t>Treasuries</w:t>
      </w:r>
      <w:proofErr w:type="spellEnd"/>
      <w:r>
        <w:rPr>
          <w:rFonts w:eastAsia="Georgia" w:hAnsi="Georgia" w:cs="Georgia"/>
          <w:color w:val="000000"/>
        </w:rPr>
        <w:t xml:space="preserve"> поднялась выше 4.1% и продолжила рост на фоне крупнейшего за 20 лет конфликта на Ближнем Востоке.</w:t>
      </w:r>
      <w:bookmarkStart w:id="6" w:name="fnref1_3"/>
      <w:bookmarkEnd w:id="6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Почему это важно</w:t>
      </w:r>
      <w:r>
        <w:rPr>
          <w:rFonts w:eastAsia="Georgia" w:hAnsi="Georgia" w:cs="Georgia"/>
          <w:color w:val="000000"/>
        </w:rPr>
        <w:br/>
      </w:r>
      <w:r>
        <w:rPr>
          <w:rFonts w:eastAsia="Georgia" w:hAnsi="Georgia" w:cs="Georgia"/>
          <w:color w:val="000000"/>
        </w:rPr>
        <w:t>Вместо классического “бегства в качество” инвесторы закладывают инфляционный скачок из‑за роста цен на нефть (</w:t>
      </w:r>
      <w:proofErr w:type="spellStart"/>
      <w:r>
        <w:rPr>
          <w:rFonts w:eastAsia="Georgia" w:hAnsi="Georgia" w:cs="Georgia"/>
          <w:color w:val="000000"/>
        </w:rPr>
        <w:t>Brent</w:t>
      </w:r>
      <w:proofErr w:type="spellEnd"/>
      <w:r>
        <w:rPr>
          <w:rFonts w:eastAsia="Georgia" w:hAnsi="Georgia" w:cs="Georgia"/>
          <w:color w:val="000000"/>
        </w:rPr>
        <w:t xml:space="preserve"> &gt; 84 $), что перевешивает спрос на защитные активы. Это сигнал ожиданий долгого периода жёсткой политики ФРС.</w:t>
      </w:r>
      <w:bookmarkStart w:id="7" w:name="fnref1_4"/>
      <w:bookmarkEnd w:id="7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 w:rsidP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У</w:t>
      </w:r>
      <w:r>
        <w:rPr>
          <w:rFonts w:eastAsia="Georgia" w:hAnsi="Georgia" w:cs="Georgia"/>
          <w:b/>
          <w:color w:val="000000"/>
        </w:rPr>
        <w:t>силенный риск</w:t>
      </w:r>
      <w:r>
        <w:rPr>
          <w:rFonts w:eastAsia="Georgia" w:hAnsi="Georgia" w:cs="Georgia"/>
          <w:color w:val="000000"/>
        </w:rPr>
        <w:br/>
        <w:t>Удорожание стоимости корпоративного капитала, падение оценки длинных активов (</w:t>
      </w:r>
      <w:proofErr w:type="spellStart"/>
      <w:r>
        <w:rPr>
          <w:rFonts w:eastAsia="Georgia" w:hAnsi="Georgia" w:cs="Georgia"/>
          <w:color w:val="000000"/>
        </w:rPr>
        <w:t>техи</w:t>
      </w:r>
      <w:proofErr w:type="spellEnd"/>
      <w:r>
        <w:rPr>
          <w:rFonts w:eastAsia="Georgia" w:hAnsi="Georgia" w:cs="Georgia"/>
          <w:color w:val="000000"/>
        </w:rPr>
        <w:t>) и возврат ипотечных ставок к ~6%, что давит на жильё.</w:t>
      </w:r>
      <w:bookmarkStart w:id="8" w:name="fnref1_5"/>
      <w:bookmarkEnd w:id="8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before="315" w:after="105" w:line="360" w:lineRule="auto"/>
        <w:ind w:left="-30"/>
      </w:pPr>
      <w:bookmarkStart w:id="9" w:name="bm_3_политизация_инфраструктуры_и_322878"/>
      <w:r>
        <w:rPr>
          <w:rFonts w:eastAsia="Georgia" w:hAnsi="Georgia" w:cs="Georgia"/>
          <w:b/>
          <w:color w:val="000000"/>
          <w:sz w:val="24"/>
        </w:rPr>
        <w:t>3. Политиз</w:t>
      </w:r>
      <w:r>
        <w:rPr>
          <w:rFonts w:eastAsia="Georgia" w:hAnsi="Georgia" w:cs="Georgia"/>
          <w:b/>
          <w:color w:val="000000"/>
          <w:sz w:val="24"/>
        </w:rPr>
        <w:t>ация инфраструктуры ИИ (</w:t>
      </w:r>
      <w:proofErr w:type="spellStart"/>
      <w:r>
        <w:rPr>
          <w:rFonts w:eastAsia="Georgia" w:hAnsi="Georgia" w:cs="Georgia"/>
          <w:b/>
          <w:color w:val="000000"/>
          <w:sz w:val="24"/>
        </w:rPr>
        <w:t>Anthropic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vs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Пентагон)</w:t>
      </w:r>
      <w:bookmarkEnd w:id="9"/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Что изменилось</w:t>
      </w:r>
      <w:r>
        <w:rPr>
          <w:rFonts w:eastAsia="Georgia" w:hAnsi="Georgia" w:cs="Georgia"/>
          <w:color w:val="000000"/>
        </w:rPr>
        <w:br/>
        <w:t xml:space="preserve">Минобороны США признало </w:t>
      </w:r>
      <w:proofErr w:type="spellStart"/>
      <w:r>
        <w:rPr>
          <w:rFonts w:eastAsia="Georgia" w:hAnsi="Georgia" w:cs="Georgia"/>
          <w:color w:val="000000"/>
        </w:rPr>
        <w:t>Anthropic</w:t>
      </w:r>
      <w:proofErr w:type="spellEnd"/>
      <w:r>
        <w:rPr>
          <w:rFonts w:eastAsia="Georgia" w:hAnsi="Georgia" w:cs="Georgia"/>
          <w:color w:val="000000"/>
        </w:rPr>
        <w:t xml:space="preserve"> “угрозой безопасности цепочек поставок” за отказ снять </w:t>
      </w:r>
      <w:r>
        <w:rPr>
          <w:rFonts w:eastAsia="Georgia" w:hAnsi="Georgia" w:cs="Georgia"/>
          <w:color w:val="000000"/>
        </w:rPr>
        <w:lastRenderedPageBreak/>
        <w:t xml:space="preserve">этические ограничения на использование </w:t>
      </w:r>
      <w:proofErr w:type="spellStart"/>
      <w:r>
        <w:rPr>
          <w:rFonts w:eastAsia="Georgia" w:hAnsi="Georgia" w:cs="Georgia"/>
          <w:color w:val="000000"/>
        </w:rPr>
        <w:t>Claude</w:t>
      </w:r>
      <w:proofErr w:type="spellEnd"/>
      <w:r>
        <w:rPr>
          <w:rFonts w:eastAsia="Georgia" w:hAnsi="Georgia" w:cs="Georgia"/>
          <w:color w:val="000000"/>
        </w:rPr>
        <w:t xml:space="preserve"> для слежки и автономных систем вооружений.</w:t>
      </w:r>
      <w:bookmarkStart w:id="10" w:name="fnref1_6"/>
      <w:bookmarkEnd w:id="10"/>
      <w:r>
        <w:fldChar w:fldCharType="begin"/>
      </w:r>
      <w:r>
        <w:instrText xml:space="preserve"> HYPERLINK \l "</w:instrText>
      </w:r>
      <w:r>
        <w:instrText xml:space="preserve">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Почему это важно</w:t>
      </w:r>
      <w:r>
        <w:rPr>
          <w:rFonts w:eastAsia="Georgia" w:hAnsi="Georgia" w:cs="Georgia"/>
          <w:color w:val="000000"/>
        </w:rPr>
        <w:br/>
        <w:t xml:space="preserve">Впервые инструменты национальной безопасности, созданные против иностранных игроков, применяются против американской ИИ‑компании. Подрядчики Пентагона и облачные провайдеры рискуют потерять </w:t>
      </w:r>
      <w:proofErr w:type="spellStart"/>
      <w:r>
        <w:rPr>
          <w:rFonts w:eastAsia="Georgia" w:hAnsi="Georgia" w:cs="Georgia"/>
          <w:color w:val="000000"/>
        </w:rPr>
        <w:t>госконтракты</w:t>
      </w:r>
      <w:proofErr w:type="spellEnd"/>
      <w:r>
        <w:rPr>
          <w:rFonts w:eastAsia="Georgia" w:hAnsi="Georgia" w:cs="Georgia"/>
          <w:color w:val="000000"/>
        </w:rPr>
        <w:t>, если продолжат работат</w:t>
      </w:r>
      <w:r>
        <w:rPr>
          <w:rFonts w:eastAsia="Georgia" w:hAnsi="Georgia" w:cs="Georgia"/>
          <w:color w:val="000000"/>
        </w:rPr>
        <w:t xml:space="preserve">ь с </w:t>
      </w:r>
      <w:proofErr w:type="spellStart"/>
      <w:r>
        <w:rPr>
          <w:rFonts w:eastAsia="Georgia" w:hAnsi="Georgia" w:cs="Georgia"/>
          <w:color w:val="000000"/>
        </w:rPr>
        <w:t>Anthropic</w:t>
      </w:r>
      <w:proofErr w:type="spellEnd"/>
      <w:r>
        <w:rPr>
          <w:rFonts w:eastAsia="Georgia" w:hAnsi="Georgia" w:cs="Georgia"/>
          <w:color w:val="000000"/>
        </w:rPr>
        <w:t>.</w:t>
      </w:r>
      <w:bookmarkStart w:id="11" w:name="fnref1_7"/>
      <w:bookmarkEnd w:id="11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Усиленный риск</w:t>
      </w:r>
      <w:r>
        <w:rPr>
          <w:rFonts w:eastAsia="Georgia" w:hAnsi="Georgia" w:cs="Georgia"/>
          <w:color w:val="000000"/>
        </w:rPr>
        <w:br/>
        <w:t xml:space="preserve">Фрагментация экосистемы ИИ США, </w:t>
      </w:r>
      <w:proofErr w:type="spellStart"/>
      <w:r>
        <w:rPr>
          <w:rFonts w:eastAsia="Georgia" w:hAnsi="Georgia" w:cs="Georgia"/>
          <w:color w:val="000000"/>
        </w:rPr>
        <w:t>vendor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lock‑in</w:t>
      </w:r>
      <w:proofErr w:type="spellEnd"/>
      <w:r>
        <w:rPr>
          <w:rFonts w:eastAsia="Georgia" w:hAnsi="Georgia" w:cs="Georgia"/>
          <w:color w:val="000000"/>
        </w:rPr>
        <w:t xml:space="preserve"> на “лояльных” провайдеров и риск внезапной потери доступа к ИИ‑инфраструктуре для гражданского бизнеса.</w:t>
      </w:r>
      <w:bookmarkStart w:id="12" w:name="fnref1_8"/>
      <w:bookmarkEnd w:id="12"/>
      <w:r>
        <w:fldChar w:fldCharType="begin"/>
      </w:r>
      <w:r>
        <w:instrText xml:space="preserve"> HYPERLINK \l "fn1" \h </w:instrText>
      </w:r>
      <w:r>
        <w:fldChar w:fldCharType="separate"/>
      </w:r>
      <w:r>
        <w:rPr>
          <w:rFonts w:ascii="helvetica neue" w:eastAsia="helvetica neue" w:hAnsi="helvetica neue" w:cs="helvetica neue"/>
          <w:u w:val="single"/>
          <w:vertAlign w:val="superscript"/>
        </w:rPr>
        <w:t>[1]</w:t>
      </w:r>
      <w:r>
        <w:rPr>
          <w:rFonts w:ascii="helvetica neue" w:eastAsia="helvetica neue" w:hAnsi="helvetica neue" w:cs="helvetica neue"/>
          <w:u w:val="single"/>
          <w:vertAlign w:val="superscript"/>
        </w:rPr>
        <w:fldChar w:fldCharType="end"/>
      </w:r>
    </w:p>
    <w:p w:rsidR="00DC4F93" w:rsidRDefault="008C160D" w:rsidP="008C160D">
      <w:pPr>
        <w:spacing w:before="210" w:after="0" w:line="360" w:lineRule="auto"/>
      </w:pPr>
      <w:bookmarkStart w:id="13" w:name="risk_map_как_её_оформить"/>
      <w:proofErr w:type="spellStart"/>
      <w:r>
        <w:rPr>
          <w:rFonts w:eastAsia="Georgia" w:hAnsi="Georgia" w:cs="Georgia"/>
          <w:b/>
          <w:color w:val="000000"/>
          <w:sz w:val="24"/>
        </w:rPr>
        <w:t>Risk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Map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— как её оформить</w:t>
      </w:r>
      <w:bookmarkEnd w:id="13"/>
    </w:p>
    <w:p w:rsidR="00DC4F93" w:rsidRDefault="008C160D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Сделай нормальную таблицу (в </w:t>
      </w:r>
      <w:proofErr w:type="spellStart"/>
      <w:r>
        <w:rPr>
          <w:rFonts w:eastAsia="Georgia" w:hAnsi="Georgia" w:cs="Georgia"/>
          <w:color w:val="000000"/>
        </w:rPr>
        <w:t>Word</w:t>
      </w:r>
      <w:proofErr w:type="spellEnd"/>
      <w:r>
        <w:rPr>
          <w:rFonts w:eastAsia="Georgia" w:hAnsi="Georgia" w:cs="Georgia"/>
          <w:color w:val="000000"/>
        </w:rPr>
        <w:t xml:space="preserve"> / </w:t>
      </w:r>
      <w:proofErr w:type="spellStart"/>
      <w:r>
        <w:rPr>
          <w:rFonts w:eastAsia="Georgia" w:hAnsi="Georgia" w:cs="Georgia"/>
          <w:color w:val="000000"/>
        </w:rPr>
        <w:t>Notion</w:t>
      </w:r>
      <w:proofErr w:type="spellEnd"/>
      <w:r>
        <w:rPr>
          <w:rFonts w:eastAsia="Georgia" w:hAnsi="Georgia" w:cs="Georgia"/>
          <w:color w:val="000000"/>
        </w:rPr>
        <w:t xml:space="preserve"> / HTML), примерно так:</w:t>
      </w:r>
    </w:p>
    <w:p w:rsidR="00DC4F93" w:rsidRDefault="008C160D">
      <w:pPr>
        <w:spacing w:before="315" w:after="105" w:line="360" w:lineRule="auto"/>
        <w:ind w:left="-30"/>
      </w:pPr>
      <w:bookmarkStart w:id="14" w:name="weekly_systemic_risk_map"/>
      <w:proofErr w:type="spellStart"/>
      <w:r>
        <w:rPr>
          <w:rFonts w:eastAsia="Georgia" w:hAnsi="Georgia" w:cs="Georgia"/>
          <w:b/>
          <w:color w:val="000000"/>
          <w:sz w:val="24"/>
        </w:rPr>
        <w:t>Weekly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Systemic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Risk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Map</w:t>
      </w:r>
      <w:bookmarkEnd w:id="14"/>
      <w:proofErr w:type="spellEnd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293"/>
        <w:gridCol w:w="985"/>
        <w:gridCol w:w="1060"/>
        <w:gridCol w:w="2808"/>
        <w:gridCol w:w="1102"/>
        <w:gridCol w:w="1256"/>
      </w:tblGrid>
      <w:tr w:rsidR="00DC4F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Риск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Уровень (S)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Движение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Что задевает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Горизонт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Уверенность</w:t>
            </w:r>
          </w:p>
        </w:tc>
      </w:tr>
      <w:tr w:rsidR="00DC4F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Энергетический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стагфляционный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шок (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Ормуз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S4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↑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Суверенные облигации, валюты импортёров; транспорт, логистика, нефтехимия; азиатские НПЗ, авиакомпании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Дни / недели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Высокая</w:t>
            </w:r>
          </w:p>
        </w:tc>
      </w:tr>
      <w:tr w:rsidR="00DC4F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Слом паттерна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Safe‑Haven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(доходности UST)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S4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↑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Ипотека США, корпоративный долг; недв</w:t>
            </w: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ижимость, капиталоёмкие проекты;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REITs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infra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‑фонды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Недели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Высокая</w:t>
            </w:r>
          </w:p>
        </w:tc>
      </w:tr>
      <w:tr w:rsidR="00DC4F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Политизация инфраструктуры 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S3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↑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Облако, ВПК; AWS,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Google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Anthropic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; регуляция ИИ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Недели / месяцы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Средняя</w:t>
            </w:r>
          </w:p>
        </w:tc>
      </w:tr>
      <w:tr w:rsidR="00DC4F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Институциональный паралич ФРС (Пауэлл →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Уорш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S3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→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DXY, кривая доходности, золото; монетарная политика ФРС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Месяцы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Высокая</w:t>
            </w:r>
          </w:p>
        </w:tc>
      </w:tr>
      <w:tr w:rsidR="00DC4F9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Фискальный шок США (возврат тарифов)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S2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↑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Долг Казначейства, ликвидность; ритейл, логистика; крупные импортёры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Месяцы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:rsidR="00DC4F93" w:rsidRDefault="008C160D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Средняя</w:t>
            </w:r>
          </w:p>
        </w:tc>
      </w:tr>
    </w:tbl>
    <w:p w:rsidR="00DC4F93" w:rsidRDefault="00DC4F93"/>
    <w:p w:rsidR="00DC4F93" w:rsidRDefault="008C160D">
      <w:pPr>
        <w:spacing w:before="210" w:after="0" w:line="360" w:lineRule="auto"/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DC4F9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03BD"/>
    <w:multiLevelType w:val="hybridMultilevel"/>
    <w:tmpl w:val="3B687250"/>
    <w:lvl w:ilvl="0" w:tplc="EF7630C6">
      <w:numFmt w:val="decimal"/>
      <w:lvlText w:val=""/>
      <w:lvlJc w:val="left"/>
    </w:lvl>
    <w:lvl w:ilvl="1" w:tplc="82CAFE6A">
      <w:numFmt w:val="decimal"/>
      <w:lvlText w:val=""/>
      <w:lvlJc w:val="left"/>
    </w:lvl>
    <w:lvl w:ilvl="2" w:tplc="AE0A4E4A">
      <w:numFmt w:val="decimal"/>
      <w:lvlText w:val=""/>
      <w:lvlJc w:val="left"/>
    </w:lvl>
    <w:lvl w:ilvl="3" w:tplc="EBFCE1F0">
      <w:numFmt w:val="decimal"/>
      <w:lvlText w:val=""/>
      <w:lvlJc w:val="left"/>
    </w:lvl>
    <w:lvl w:ilvl="4" w:tplc="6CA44060">
      <w:numFmt w:val="decimal"/>
      <w:lvlText w:val=""/>
      <w:lvlJc w:val="left"/>
    </w:lvl>
    <w:lvl w:ilvl="5" w:tplc="04020966">
      <w:numFmt w:val="decimal"/>
      <w:lvlText w:val=""/>
      <w:lvlJc w:val="left"/>
    </w:lvl>
    <w:lvl w:ilvl="6" w:tplc="C70E1572">
      <w:numFmt w:val="decimal"/>
      <w:lvlText w:val=""/>
      <w:lvlJc w:val="left"/>
    </w:lvl>
    <w:lvl w:ilvl="7" w:tplc="363620D6">
      <w:numFmt w:val="decimal"/>
      <w:lvlText w:val=""/>
      <w:lvlJc w:val="left"/>
    </w:lvl>
    <w:lvl w:ilvl="8" w:tplc="295E5570">
      <w:numFmt w:val="decimal"/>
      <w:lvlText w:val=""/>
      <w:lvlJc w:val="left"/>
    </w:lvl>
  </w:abstractNum>
  <w:abstractNum w:abstractNumId="1" w15:restartNumberingAfterBreak="0">
    <w:nsid w:val="30696537"/>
    <w:multiLevelType w:val="hybridMultilevel"/>
    <w:tmpl w:val="9842A79C"/>
    <w:lvl w:ilvl="0" w:tplc="B49C610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BC63C36">
      <w:numFmt w:val="decimal"/>
      <w:lvlText w:val=""/>
      <w:lvlJc w:val="left"/>
    </w:lvl>
    <w:lvl w:ilvl="2" w:tplc="7616C270">
      <w:numFmt w:val="decimal"/>
      <w:lvlText w:val=""/>
      <w:lvlJc w:val="left"/>
    </w:lvl>
    <w:lvl w:ilvl="3" w:tplc="F236C1FA">
      <w:numFmt w:val="decimal"/>
      <w:lvlText w:val=""/>
      <w:lvlJc w:val="left"/>
    </w:lvl>
    <w:lvl w:ilvl="4" w:tplc="39CEFC58">
      <w:numFmt w:val="decimal"/>
      <w:lvlText w:val=""/>
      <w:lvlJc w:val="left"/>
    </w:lvl>
    <w:lvl w:ilvl="5" w:tplc="652474A4">
      <w:numFmt w:val="decimal"/>
      <w:lvlText w:val=""/>
      <w:lvlJc w:val="left"/>
    </w:lvl>
    <w:lvl w:ilvl="6" w:tplc="4EF2092C">
      <w:numFmt w:val="decimal"/>
      <w:lvlText w:val=""/>
      <w:lvlJc w:val="left"/>
    </w:lvl>
    <w:lvl w:ilvl="7" w:tplc="3E14CF9C">
      <w:numFmt w:val="decimal"/>
      <w:lvlText w:val=""/>
      <w:lvlJc w:val="left"/>
    </w:lvl>
    <w:lvl w:ilvl="8" w:tplc="46D6DBDC">
      <w:numFmt w:val="decimal"/>
      <w:lvlText w:val=""/>
      <w:lvlJc w:val="left"/>
    </w:lvl>
  </w:abstractNum>
  <w:abstractNum w:abstractNumId="2" w15:restartNumberingAfterBreak="0">
    <w:nsid w:val="7E513585"/>
    <w:multiLevelType w:val="hybridMultilevel"/>
    <w:tmpl w:val="F70C2940"/>
    <w:lvl w:ilvl="0" w:tplc="C68696E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30015E0">
      <w:numFmt w:val="decimal"/>
      <w:lvlText w:val=""/>
      <w:lvlJc w:val="left"/>
    </w:lvl>
    <w:lvl w:ilvl="2" w:tplc="7690D0A6">
      <w:numFmt w:val="decimal"/>
      <w:lvlText w:val=""/>
      <w:lvlJc w:val="left"/>
    </w:lvl>
    <w:lvl w:ilvl="3" w:tplc="2BC0B6A4">
      <w:numFmt w:val="decimal"/>
      <w:lvlText w:val=""/>
      <w:lvlJc w:val="left"/>
    </w:lvl>
    <w:lvl w:ilvl="4" w:tplc="56E2A830">
      <w:numFmt w:val="decimal"/>
      <w:lvlText w:val=""/>
      <w:lvlJc w:val="left"/>
    </w:lvl>
    <w:lvl w:ilvl="5" w:tplc="D7F681A6">
      <w:numFmt w:val="decimal"/>
      <w:lvlText w:val=""/>
      <w:lvlJc w:val="left"/>
    </w:lvl>
    <w:lvl w:ilvl="6" w:tplc="5A12C178">
      <w:numFmt w:val="decimal"/>
      <w:lvlText w:val=""/>
      <w:lvlJc w:val="left"/>
    </w:lvl>
    <w:lvl w:ilvl="7" w:tplc="BCC4595C">
      <w:numFmt w:val="decimal"/>
      <w:lvlText w:val=""/>
      <w:lvlJc w:val="left"/>
    </w:lvl>
    <w:lvl w:ilvl="8" w:tplc="A9FEE0B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93"/>
    <w:rsid w:val="0010796C"/>
    <w:rsid w:val="008C160D"/>
    <w:rsid w:val="00DC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D9775E7"/>
  <w15:docId w15:val="{72627C96-8226-4EC5-8311-89AEA78C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Віталій</cp:lastModifiedBy>
  <cp:revision>4</cp:revision>
  <dcterms:created xsi:type="dcterms:W3CDTF">2026-03-06T01:08:00Z</dcterms:created>
  <dcterms:modified xsi:type="dcterms:W3CDTF">2026-03-06T01:10:00Z</dcterms:modified>
</cp:coreProperties>
</file>